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76" w:rsidRPr="008F21BE" w:rsidRDefault="000D2F76" w:rsidP="000D2F76">
      <w:pPr>
        <w:pStyle w:val="20"/>
        <w:shd w:val="clear" w:color="auto" w:fill="auto"/>
        <w:spacing w:before="0" w:after="7" w:line="240" w:lineRule="exact"/>
        <w:ind w:left="5840"/>
        <w:jc w:val="left"/>
        <w:rPr>
          <w:sz w:val="26"/>
          <w:szCs w:val="26"/>
        </w:rPr>
      </w:pPr>
      <w:r w:rsidRPr="008F21B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0D2F76" w:rsidRPr="008F21BE" w:rsidRDefault="000D2F76" w:rsidP="000D2F76">
      <w:pPr>
        <w:pStyle w:val="20"/>
        <w:shd w:val="clear" w:color="auto" w:fill="auto"/>
        <w:spacing w:before="0" w:after="0" w:line="240" w:lineRule="exact"/>
        <w:ind w:left="5840"/>
        <w:jc w:val="left"/>
        <w:rPr>
          <w:sz w:val="26"/>
          <w:szCs w:val="26"/>
        </w:rPr>
      </w:pPr>
      <w:r w:rsidRPr="008F21BE">
        <w:rPr>
          <w:sz w:val="26"/>
          <w:szCs w:val="26"/>
        </w:rPr>
        <w:t xml:space="preserve">к приказу </w:t>
      </w:r>
      <w:r w:rsidR="00A53B83">
        <w:rPr>
          <w:sz w:val="26"/>
          <w:szCs w:val="26"/>
        </w:rPr>
        <w:t>№ 24 от 01.09.2022г.</w:t>
      </w:r>
    </w:p>
    <w:p w:rsidR="000D2F76" w:rsidRDefault="000D2F76" w:rsidP="000D2F76">
      <w:pPr>
        <w:ind w:left="6096" w:firstLine="0"/>
        <w:rPr>
          <w:sz w:val="26"/>
          <w:szCs w:val="26"/>
        </w:rPr>
      </w:pPr>
    </w:p>
    <w:p w:rsidR="000D2F76" w:rsidRPr="00457152" w:rsidRDefault="000D2F76" w:rsidP="000D2F76">
      <w:pPr>
        <w:rPr>
          <w:sz w:val="26"/>
          <w:szCs w:val="26"/>
        </w:rPr>
      </w:pPr>
    </w:p>
    <w:p w:rsidR="000D2F76" w:rsidRPr="00457152" w:rsidRDefault="000D2F76" w:rsidP="000D2F76">
      <w:pPr>
        <w:ind w:firstLine="0"/>
        <w:jc w:val="center"/>
        <w:rPr>
          <w:b/>
          <w:sz w:val="26"/>
          <w:szCs w:val="26"/>
        </w:rPr>
      </w:pPr>
      <w:r w:rsidRPr="00457152">
        <w:rPr>
          <w:b/>
          <w:sz w:val="26"/>
          <w:szCs w:val="26"/>
        </w:rPr>
        <w:t xml:space="preserve">Карта коррупционных рисков МБОУ </w:t>
      </w:r>
      <w:r w:rsidR="00A53B83">
        <w:rPr>
          <w:b/>
          <w:sz w:val="26"/>
          <w:szCs w:val="26"/>
        </w:rPr>
        <w:t>«Средняя школа № 61»</w:t>
      </w:r>
    </w:p>
    <w:p w:rsidR="000D2F76" w:rsidRDefault="000D2F76" w:rsidP="000D2F76">
      <w:pPr>
        <w:jc w:val="center"/>
        <w:rPr>
          <w:sz w:val="26"/>
          <w:szCs w:val="26"/>
        </w:rPr>
      </w:pPr>
    </w:p>
    <w:p w:rsidR="000D2F76" w:rsidRPr="00457152" w:rsidRDefault="000D2F76" w:rsidP="000D2F76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b/>
          <w:sz w:val="26"/>
          <w:szCs w:val="26"/>
        </w:rPr>
      </w:pPr>
      <w:r w:rsidRPr="00457152">
        <w:rPr>
          <w:b/>
          <w:sz w:val="26"/>
          <w:szCs w:val="26"/>
        </w:rPr>
        <w:t>Общие положения:</w:t>
      </w:r>
    </w:p>
    <w:p w:rsidR="000D2F76" w:rsidRPr="00457152" w:rsidRDefault="000D2F76" w:rsidP="000D2F76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sz w:val="26"/>
          <w:szCs w:val="26"/>
        </w:rPr>
      </w:pPr>
      <w:r w:rsidRPr="00457152">
        <w:rPr>
          <w:sz w:val="26"/>
          <w:szCs w:val="26"/>
        </w:rPr>
        <w:t xml:space="preserve">Оценка коррупционных рисков является важнейшим элементом антикоррупционной политики муниципального </w:t>
      </w:r>
      <w:r>
        <w:rPr>
          <w:sz w:val="26"/>
          <w:szCs w:val="26"/>
        </w:rPr>
        <w:t xml:space="preserve">бюджетного </w:t>
      </w:r>
      <w:r w:rsidRPr="00457152">
        <w:rPr>
          <w:sz w:val="26"/>
          <w:szCs w:val="26"/>
        </w:rPr>
        <w:t xml:space="preserve">общеобразовательного учреждения </w:t>
      </w:r>
      <w:r w:rsidR="00A53B83">
        <w:rPr>
          <w:sz w:val="26"/>
          <w:szCs w:val="26"/>
        </w:rPr>
        <w:t xml:space="preserve">города Ульяновска </w:t>
      </w:r>
      <w:r>
        <w:rPr>
          <w:sz w:val="26"/>
          <w:szCs w:val="26"/>
        </w:rPr>
        <w:t xml:space="preserve"> </w:t>
      </w:r>
      <w:r w:rsidRPr="00457152">
        <w:rPr>
          <w:sz w:val="26"/>
          <w:szCs w:val="26"/>
        </w:rPr>
        <w:t xml:space="preserve">«Средняя </w:t>
      </w:r>
      <w:r w:rsidR="00A53B83">
        <w:rPr>
          <w:sz w:val="26"/>
          <w:szCs w:val="26"/>
        </w:rPr>
        <w:t xml:space="preserve">школа  </w:t>
      </w:r>
      <w:r>
        <w:rPr>
          <w:sz w:val="26"/>
          <w:szCs w:val="26"/>
        </w:rPr>
        <w:t xml:space="preserve">№ </w:t>
      </w:r>
      <w:r w:rsidR="00A53B83">
        <w:rPr>
          <w:sz w:val="26"/>
          <w:szCs w:val="26"/>
        </w:rPr>
        <w:t>61</w:t>
      </w:r>
      <w:r w:rsidRPr="00457152">
        <w:rPr>
          <w:sz w:val="26"/>
          <w:szCs w:val="26"/>
        </w:rPr>
        <w:t>» (далее - Школа) позволяет обеспечить соответствие реализуемых антикоррупционных мероприятий специфике деятельности Школы и рационально использовать ресурсы, направляемые на проведение работы по профилактике коррупции в Школе.</w:t>
      </w:r>
    </w:p>
    <w:p w:rsidR="000D2F76" w:rsidRPr="00457152" w:rsidRDefault="000D2F76" w:rsidP="000D2F76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sz w:val="26"/>
          <w:szCs w:val="26"/>
        </w:rPr>
      </w:pPr>
      <w:r w:rsidRPr="00457152">
        <w:rPr>
          <w:sz w:val="26"/>
          <w:szCs w:val="26"/>
        </w:rPr>
        <w:t xml:space="preserve">Целью оценки коррупционных рисков является определение конкретных процессов и видов деятельности Школы, при реализации которых наиболее высока вероятность совершения работниками Школы коррупционных правонарушений, как </w:t>
      </w:r>
      <w:r>
        <w:rPr>
          <w:sz w:val="26"/>
          <w:szCs w:val="26"/>
        </w:rPr>
        <w:t xml:space="preserve">                 </w:t>
      </w:r>
      <w:r w:rsidRPr="00457152">
        <w:rPr>
          <w:sz w:val="26"/>
          <w:szCs w:val="26"/>
        </w:rPr>
        <w:t>в целях получения личной выгоды, так и в целях получения выгоды Школой.</w:t>
      </w:r>
    </w:p>
    <w:p w:rsidR="000D2F76" w:rsidRPr="00457152" w:rsidRDefault="000D2F76" w:rsidP="000D2F76">
      <w:pPr>
        <w:widowControl w:val="0"/>
        <w:numPr>
          <w:ilvl w:val="0"/>
          <w:numId w:val="1"/>
        </w:numPr>
        <w:tabs>
          <w:tab w:val="left" w:pos="342"/>
          <w:tab w:val="left" w:pos="993"/>
          <w:tab w:val="left" w:pos="1276"/>
        </w:tabs>
        <w:spacing w:before="120" w:after="120"/>
        <w:jc w:val="both"/>
        <w:rPr>
          <w:b/>
          <w:sz w:val="26"/>
          <w:szCs w:val="26"/>
        </w:rPr>
      </w:pPr>
      <w:r w:rsidRPr="00457152">
        <w:rPr>
          <w:b/>
          <w:sz w:val="26"/>
          <w:szCs w:val="26"/>
        </w:rPr>
        <w:t>Карта коррупционных рисков.</w:t>
      </w:r>
    </w:p>
    <w:p w:rsidR="000D2F76" w:rsidRPr="00457152" w:rsidRDefault="000D2F76" w:rsidP="000D2F76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sz w:val="26"/>
          <w:szCs w:val="26"/>
        </w:rPr>
      </w:pPr>
      <w:r w:rsidRPr="00457152">
        <w:rPr>
          <w:sz w:val="26"/>
          <w:szCs w:val="26"/>
        </w:rPr>
        <w:t>В Карте коррупционных рисков (далее - Карта) представлены зоны повышенного коррупционного риска (</w:t>
      </w:r>
      <w:proofErr w:type="spellStart"/>
      <w:r w:rsidRPr="00457152">
        <w:rPr>
          <w:sz w:val="26"/>
          <w:szCs w:val="26"/>
        </w:rPr>
        <w:t>коррупционно</w:t>
      </w:r>
      <w:proofErr w:type="spellEnd"/>
      <w:r w:rsidRPr="00457152">
        <w:rPr>
          <w:sz w:val="26"/>
          <w:szCs w:val="26"/>
        </w:rPr>
        <w:t>-опасные полномочия), считающиеся наиболее предрасполагающими к возникновению возможных коррупционных правонарушений.</w:t>
      </w:r>
    </w:p>
    <w:p w:rsidR="000D2F76" w:rsidRPr="00457152" w:rsidRDefault="000D2F76" w:rsidP="000D2F76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sz w:val="26"/>
          <w:szCs w:val="26"/>
        </w:rPr>
      </w:pPr>
      <w:r w:rsidRPr="00457152">
        <w:rPr>
          <w:sz w:val="26"/>
          <w:szCs w:val="26"/>
        </w:rPr>
        <w:t>В Карте указан перечень должностей, связанных с определенной зоной повышенного коррупционного риска (</w:t>
      </w:r>
      <w:proofErr w:type="spellStart"/>
      <w:r w:rsidRPr="00457152">
        <w:rPr>
          <w:sz w:val="26"/>
          <w:szCs w:val="26"/>
        </w:rPr>
        <w:t>коррупционно</w:t>
      </w:r>
      <w:proofErr w:type="spellEnd"/>
      <w:r w:rsidRPr="00457152">
        <w:rPr>
          <w:sz w:val="26"/>
          <w:szCs w:val="26"/>
        </w:rPr>
        <w:t>-опасными полномочиями).</w:t>
      </w:r>
    </w:p>
    <w:p w:rsidR="000D2F76" w:rsidRPr="00457152" w:rsidRDefault="000D2F76" w:rsidP="000D2F76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sz w:val="26"/>
          <w:szCs w:val="26"/>
        </w:rPr>
      </w:pPr>
      <w:r w:rsidRPr="00457152">
        <w:rPr>
          <w:sz w:val="26"/>
          <w:szCs w:val="26"/>
        </w:rPr>
        <w:t xml:space="preserve"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 </w:t>
      </w:r>
    </w:p>
    <w:p w:rsidR="000D2F76" w:rsidRPr="00457152" w:rsidRDefault="000D2F76" w:rsidP="000D2F76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sz w:val="26"/>
          <w:szCs w:val="26"/>
        </w:rPr>
      </w:pPr>
      <w:r w:rsidRPr="00457152">
        <w:rPr>
          <w:sz w:val="26"/>
          <w:szCs w:val="26"/>
        </w:rPr>
        <w:t>По каждой зоне повышенного коррупционного риска (</w:t>
      </w:r>
      <w:proofErr w:type="spellStart"/>
      <w:r w:rsidRPr="00457152">
        <w:rPr>
          <w:sz w:val="26"/>
          <w:szCs w:val="26"/>
        </w:rPr>
        <w:t>коррупционно</w:t>
      </w:r>
      <w:proofErr w:type="spellEnd"/>
      <w:r w:rsidRPr="00457152">
        <w:rPr>
          <w:sz w:val="26"/>
          <w:szCs w:val="26"/>
        </w:rPr>
        <w:t xml:space="preserve"> - опасных полномочий) предложены меры по устранению или минимизации </w:t>
      </w:r>
      <w:proofErr w:type="spellStart"/>
      <w:r w:rsidRPr="00457152">
        <w:rPr>
          <w:sz w:val="26"/>
          <w:szCs w:val="26"/>
        </w:rPr>
        <w:t>коррупционно</w:t>
      </w:r>
      <w:proofErr w:type="spellEnd"/>
      <w:r w:rsidRPr="00457152">
        <w:rPr>
          <w:sz w:val="26"/>
          <w:szCs w:val="26"/>
        </w:rPr>
        <w:t>-опасных функций.</w:t>
      </w:r>
    </w:p>
    <w:p w:rsidR="000D2F76" w:rsidRPr="00457152" w:rsidRDefault="000D2F76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0D2F76" w:rsidRDefault="000D2F76" w:rsidP="000D2F76">
      <w:pPr>
        <w:spacing w:before="120" w:after="12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457152">
        <w:rPr>
          <w:b/>
          <w:sz w:val="26"/>
          <w:szCs w:val="26"/>
        </w:rPr>
        <w:t>оррупционны</w:t>
      </w:r>
      <w:r>
        <w:rPr>
          <w:b/>
          <w:sz w:val="26"/>
          <w:szCs w:val="26"/>
        </w:rPr>
        <w:t>е</w:t>
      </w:r>
      <w:r w:rsidRPr="00457152">
        <w:rPr>
          <w:b/>
          <w:sz w:val="26"/>
          <w:szCs w:val="26"/>
        </w:rPr>
        <w:t xml:space="preserve"> риск</w:t>
      </w:r>
      <w:r>
        <w:rPr>
          <w:b/>
          <w:sz w:val="26"/>
          <w:szCs w:val="26"/>
        </w:rPr>
        <w:t>и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40"/>
        <w:gridCol w:w="1843"/>
        <w:gridCol w:w="2290"/>
        <w:gridCol w:w="1701"/>
        <w:gridCol w:w="1134"/>
        <w:gridCol w:w="2268"/>
      </w:tblGrid>
      <w:tr w:rsidR="000D2F76" w:rsidTr="00163869">
        <w:tc>
          <w:tcPr>
            <w:tcW w:w="540" w:type="dxa"/>
          </w:tcPr>
          <w:p w:rsidR="000D2F76" w:rsidRPr="00B84598" w:rsidRDefault="000D2F76" w:rsidP="00163869">
            <w:pPr>
              <w:spacing w:before="120" w:after="120"/>
              <w:ind w:firstLine="0"/>
              <w:jc w:val="center"/>
              <w:rPr>
                <w:b/>
                <w:sz w:val="22"/>
              </w:rPr>
            </w:pPr>
            <w:r w:rsidRPr="00B84598">
              <w:rPr>
                <w:b/>
                <w:sz w:val="22"/>
              </w:rPr>
              <w:t>№</w:t>
            </w:r>
          </w:p>
          <w:p w:rsidR="000D2F76" w:rsidRPr="00B84598" w:rsidRDefault="000D2F76" w:rsidP="00163869">
            <w:pPr>
              <w:spacing w:before="120" w:after="120"/>
              <w:ind w:firstLine="0"/>
              <w:jc w:val="center"/>
              <w:rPr>
                <w:b/>
                <w:sz w:val="22"/>
              </w:rPr>
            </w:pPr>
            <w:r w:rsidRPr="00B84598">
              <w:rPr>
                <w:b/>
                <w:sz w:val="22"/>
              </w:rPr>
              <w:t>п\п</w:t>
            </w:r>
          </w:p>
        </w:tc>
        <w:tc>
          <w:tcPr>
            <w:tcW w:w="1843" w:type="dxa"/>
          </w:tcPr>
          <w:p w:rsidR="000D2F76" w:rsidRPr="00B84598" w:rsidRDefault="000D2F76" w:rsidP="00163869">
            <w:pPr>
              <w:spacing w:before="60" w:after="60"/>
              <w:ind w:firstLine="0"/>
              <w:rPr>
                <w:b/>
                <w:sz w:val="22"/>
              </w:rPr>
            </w:pPr>
            <w:proofErr w:type="spellStart"/>
            <w:r w:rsidRPr="00B84598">
              <w:rPr>
                <w:rStyle w:val="295pt"/>
                <w:rFonts w:eastAsiaTheme="minorHAnsi"/>
                <w:b/>
                <w:sz w:val="22"/>
              </w:rPr>
              <w:t>Коррупционно</w:t>
            </w:r>
            <w:proofErr w:type="spellEnd"/>
            <w:r w:rsidRPr="00B84598">
              <w:rPr>
                <w:rStyle w:val="295pt"/>
                <w:rFonts w:eastAsiaTheme="minorHAnsi"/>
                <w:b/>
                <w:sz w:val="22"/>
              </w:rPr>
              <w:t>- опасная функция</w:t>
            </w:r>
          </w:p>
        </w:tc>
        <w:tc>
          <w:tcPr>
            <w:tcW w:w="2290" w:type="dxa"/>
          </w:tcPr>
          <w:p w:rsidR="000D2F76" w:rsidRPr="00B84598" w:rsidRDefault="000D2F76" w:rsidP="00163869">
            <w:pPr>
              <w:spacing w:before="60" w:after="60"/>
              <w:ind w:firstLine="0"/>
              <w:rPr>
                <w:b/>
                <w:sz w:val="22"/>
              </w:rPr>
            </w:pPr>
            <w:r w:rsidRPr="00B84598">
              <w:rPr>
                <w:rStyle w:val="295pt"/>
                <w:rFonts w:eastAsiaTheme="minorHAnsi"/>
                <w:b/>
                <w:sz w:val="22"/>
              </w:rPr>
              <w:t>Типовые ситуации</w:t>
            </w:r>
          </w:p>
        </w:tc>
        <w:tc>
          <w:tcPr>
            <w:tcW w:w="1701" w:type="dxa"/>
          </w:tcPr>
          <w:p w:rsidR="000D2F76" w:rsidRPr="00B84598" w:rsidRDefault="000D2F76" w:rsidP="00163869">
            <w:pPr>
              <w:spacing w:before="60" w:after="60"/>
              <w:ind w:firstLine="0"/>
              <w:rPr>
                <w:b/>
                <w:sz w:val="22"/>
              </w:rPr>
            </w:pPr>
            <w:r w:rsidRPr="00B84598">
              <w:rPr>
                <w:rStyle w:val="295pt"/>
                <w:rFonts w:eastAsiaTheme="minorHAnsi"/>
                <w:b/>
                <w:sz w:val="22"/>
              </w:rPr>
              <w:t>Наименование должности в учреждении</w:t>
            </w:r>
          </w:p>
        </w:tc>
        <w:tc>
          <w:tcPr>
            <w:tcW w:w="1134" w:type="dxa"/>
          </w:tcPr>
          <w:p w:rsidR="000D2F76" w:rsidRPr="00B84598" w:rsidRDefault="000D2F76" w:rsidP="00163869">
            <w:pPr>
              <w:spacing w:before="60" w:after="60"/>
              <w:ind w:firstLine="0"/>
              <w:rPr>
                <w:b/>
                <w:sz w:val="22"/>
              </w:rPr>
            </w:pPr>
            <w:r w:rsidRPr="00B84598">
              <w:rPr>
                <w:rStyle w:val="295pt"/>
                <w:rFonts w:eastAsiaTheme="minorHAnsi"/>
                <w:b/>
                <w:sz w:val="22"/>
              </w:rPr>
              <w:t>Степень риска</w:t>
            </w:r>
            <w:r>
              <w:rPr>
                <w:rStyle w:val="295pt"/>
                <w:rFonts w:eastAsiaTheme="minorHAnsi"/>
                <w:b/>
                <w:sz w:val="22"/>
              </w:rPr>
              <w:t>:</w:t>
            </w:r>
            <w:r w:rsidRPr="00B84598">
              <w:rPr>
                <w:rStyle w:val="295pt"/>
                <w:rFonts w:eastAsiaTheme="minorHAnsi"/>
                <w:b/>
                <w:sz w:val="22"/>
              </w:rPr>
              <w:t xml:space="preserve"> низкая, средняя, высокая</w:t>
            </w:r>
          </w:p>
        </w:tc>
        <w:tc>
          <w:tcPr>
            <w:tcW w:w="2268" w:type="dxa"/>
          </w:tcPr>
          <w:p w:rsidR="000D2F76" w:rsidRPr="00B84598" w:rsidRDefault="000D2F76" w:rsidP="00163869">
            <w:pPr>
              <w:spacing w:before="60" w:after="60"/>
              <w:ind w:firstLine="0"/>
              <w:rPr>
                <w:b/>
                <w:sz w:val="22"/>
              </w:rPr>
            </w:pPr>
            <w:r w:rsidRPr="00B84598">
              <w:rPr>
                <w:rStyle w:val="295pt"/>
                <w:rFonts w:eastAsiaTheme="minorHAnsi"/>
                <w:b/>
                <w:sz w:val="22"/>
              </w:rPr>
              <w:t>Меры по управлению коррупционными рисками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Организация деятельности образовательной организации.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</w:t>
            </w:r>
            <w:r w:rsidRPr="00F6697C">
              <w:rPr>
                <w:sz w:val="24"/>
                <w:szCs w:val="24"/>
              </w:rPr>
              <w:lastRenderedPageBreak/>
              <w:t>или его родственников либо иной личной заинтересованности</w:t>
            </w:r>
          </w:p>
        </w:tc>
        <w:tc>
          <w:tcPr>
            <w:tcW w:w="1701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 xml:space="preserve">Директор, заместители директора, руководители </w:t>
            </w:r>
            <w:r>
              <w:rPr>
                <w:sz w:val="24"/>
                <w:szCs w:val="24"/>
              </w:rPr>
              <w:t>функциональных направлений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Информационная открытость деятельности образовательной организации. Соблюдение, утвержденной антикоррупционной политики образовательной </w:t>
            </w:r>
            <w:r w:rsidRPr="00F6697C">
              <w:rPr>
                <w:sz w:val="24"/>
                <w:szCs w:val="24"/>
              </w:rPr>
              <w:lastRenderedPageBreak/>
              <w:t>организации. Разъяснение работникам образовательной организации положений законодательства о мерах ответственности за совершение коррупционных правонарушений. Перераспределение функций между членами администрации.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Деятельность образовательной организации.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Сбор денежных средств, неформальные платежи, частное репетиторство, составление или заполнение справок.</w:t>
            </w:r>
          </w:p>
        </w:tc>
        <w:tc>
          <w:tcPr>
            <w:tcW w:w="1701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Педагоги, работники учреждения.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Информационная открытость деятельности образовательной организации. Соблюдение, утвержденной антикоррупционной политики образовательной организации. 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Принятие на работу сотрудников.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образовательную организацию.</w:t>
            </w:r>
          </w:p>
        </w:tc>
        <w:tc>
          <w:tcPr>
            <w:tcW w:w="1701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Директор, руководители </w:t>
            </w:r>
            <w:r>
              <w:rPr>
                <w:sz w:val="24"/>
                <w:szCs w:val="24"/>
              </w:rPr>
              <w:t xml:space="preserve">функциональных направлений 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Низкая</w:t>
            </w:r>
          </w:p>
        </w:tc>
        <w:tc>
          <w:tcPr>
            <w:tcW w:w="2268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Разъяснительная работа с ответственными лицами о мерах ответственности за совершение коррупционных правонарушений. Проведение собеседования при приеме на работу директором образовательной организации.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Работа со служебной информацией.</w:t>
            </w:r>
          </w:p>
        </w:tc>
        <w:tc>
          <w:tcPr>
            <w:tcW w:w="2290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 Замалчивание информации.</w:t>
            </w:r>
          </w:p>
        </w:tc>
        <w:tc>
          <w:tcPr>
            <w:tcW w:w="1701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Директор, заместители директора, руководители </w:t>
            </w:r>
            <w:r>
              <w:rPr>
                <w:sz w:val="24"/>
                <w:szCs w:val="24"/>
              </w:rPr>
              <w:t>функциональных направлений,</w:t>
            </w:r>
            <w:r w:rsidRPr="00F6697C">
              <w:rPr>
                <w:sz w:val="24"/>
                <w:szCs w:val="24"/>
              </w:rPr>
              <w:t xml:space="preserve"> учителя, секретарь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Соблюдение, утвержденной антикоррупционной политики образователь ной организации. Ознакомление с нормативными документами, регламентирующими вопросы предупреждения и противодействия коррупции в образовательной организации. 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Работа с обращениями юридических и физических лиц.</w:t>
            </w:r>
          </w:p>
        </w:tc>
        <w:tc>
          <w:tcPr>
            <w:tcW w:w="2290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</w:tc>
        <w:tc>
          <w:tcPr>
            <w:tcW w:w="1701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Директор, заместители директора, лица, ответственные за рассмотрение обращений.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Взаимоотношения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</w:t>
            </w:r>
            <w:r w:rsidRPr="00F6697C">
              <w:rPr>
                <w:sz w:val="24"/>
                <w:szCs w:val="24"/>
              </w:rPr>
              <w:lastRenderedPageBreak/>
              <w:t>исключением символических знаков внимания, протокольных мероприятий.</w:t>
            </w:r>
          </w:p>
        </w:tc>
        <w:tc>
          <w:tcPr>
            <w:tcW w:w="1701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 xml:space="preserve">Директор, заместители директора, работники образовательной организации, уполномоченные директором представлять </w:t>
            </w:r>
            <w:r w:rsidRPr="00F6697C">
              <w:rPr>
                <w:sz w:val="24"/>
                <w:szCs w:val="24"/>
              </w:rPr>
              <w:lastRenderedPageBreak/>
              <w:t>интересы образовательной организации.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268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Соблюдение, утвержденной антикоррупционной политики образовательной организации. Ознакомление с нормативными документами, регламентирующими вопросы </w:t>
            </w:r>
            <w:r w:rsidRPr="00F6697C">
              <w:rPr>
                <w:sz w:val="24"/>
                <w:szCs w:val="24"/>
              </w:rPr>
              <w:lastRenderedPageBreak/>
              <w:t>предупреждения и противодействия коррупции в образовательной организации.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1701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Низкая</w:t>
            </w:r>
          </w:p>
        </w:tc>
        <w:tc>
          <w:tcPr>
            <w:tcW w:w="2268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Привлечение к принятию решений представителей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образовательном учреждении. Разъяснительная работа о мерах ответственности за совершение коррупционных правонарушений.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Регистрация материальных ценностей и ведение баз данных материальных ценностей.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Несвоевременная постановка на регистра</w:t>
            </w:r>
            <w:r>
              <w:rPr>
                <w:sz w:val="24"/>
                <w:szCs w:val="24"/>
              </w:rPr>
              <w:t>ционный учет материальных ценно</w:t>
            </w:r>
            <w:r w:rsidRPr="00F6697C">
              <w:rPr>
                <w:sz w:val="24"/>
                <w:szCs w:val="24"/>
              </w:rPr>
              <w:t>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имущества.</w:t>
            </w:r>
          </w:p>
        </w:tc>
        <w:tc>
          <w:tcPr>
            <w:tcW w:w="1701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Материально-ответственные лица, заместитель директора по АХ</w:t>
            </w:r>
            <w:r>
              <w:rPr>
                <w:sz w:val="24"/>
                <w:szCs w:val="24"/>
              </w:rPr>
              <w:t>Ч</w:t>
            </w:r>
            <w:r w:rsidRPr="00F6697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Организация работы по контролю за деятельностью структурных подразделений с участием представителей иных структурных подразделений образовательной организации. 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Осуществление закупок, заключение контрактов и </w:t>
            </w:r>
            <w:r w:rsidRPr="00F6697C">
              <w:rPr>
                <w:sz w:val="24"/>
                <w:szCs w:val="24"/>
              </w:rPr>
              <w:lastRenderedPageBreak/>
              <w:t>других гражданско-правовых договоров на поставку товаров, выполнение работ, оказание услуг для образовательной организации.</w:t>
            </w:r>
          </w:p>
        </w:tc>
        <w:tc>
          <w:tcPr>
            <w:tcW w:w="2290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 xml:space="preserve">Расстановка мнимых приоритетов по предмету, объемам, </w:t>
            </w:r>
            <w:r w:rsidRPr="00F6697C">
              <w:rPr>
                <w:sz w:val="24"/>
                <w:szCs w:val="24"/>
              </w:rPr>
              <w:lastRenderedPageBreak/>
              <w:t>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 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</w:t>
            </w:r>
            <w:r w:rsidRPr="00F6697C">
              <w:rPr>
                <w:sz w:val="24"/>
                <w:szCs w:val="24"/>
              </w:rPr>
              <w:lastRenderedPageBreak/>
              <w:t xml:space="preserve">ости и специфики 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 </w:t>
            </w:r>
            <w:proofErr w:type="spellStart"/>
            <w:r w:rsidRPr="00F6697C">
              <w:rPr>
                <w:sz w:val="24"/>
                <w:szCs w:val="24"/>
              </w:rPr>
              <w:t>поряд</w:t>
            </w:r>
            <w:proofErr w:type="spellEnd"/>
            <w:r w:rsidRPr="00F6697C">
              <w:rPr>
                <w:sz w:val="24"/>
                <w:szCs w:val="24"/>
              </w:rPr>
              <w:t xml:space="preserve"> ка требований закона в личных интересах;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1701" w:type="dxa"/>
          </w:tcPr>
          <w:p w:rsidR="000D2F76" w:rsidRPr="00F6697C" w:rsidRDefault="000D2F76" w:rsidP="00A53B83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Директор, заместитель директора по АХ</w:t>
            </w:r>
            <w:r>
              <w:rPr>
                <w:sz w:val="24"/>
                <w:szCs w:val="24"/>
              </w:rPr>
              <w:t>Ч,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,</w:t>
            </w:r>
            <w:proofErr w:type="gramEnd"/>
            <w:r w:rsidRPr="00F6697C">
              <w:rPr>
                <w:sz w:val="24"/>
                <w:szCs w:val="24"/>
              </w:rPr>
              <w:t>работники, ответственны</w:t>
            </w:r>
            <w:r>
              <w:rPr>
                <w:sz w:val="24"/>
                <w:szCs w:val="24"/>
              </w:rPr>
              <w:t>е</w:t>
            </w:r>
            <w:r w:rsidRPr="00F6697C">
              <w:rPr>
                <w:sz w:val="24"/>
                <w:szCs w:val="24"/>
              </w:rPr>
              <w:t xml:space="preserve"> за организацию закупок товаров, работ, услуг для нужд образовательной организации.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Соблюдение при проведении закупок товаров, работ и услуг для </w:t>
            </w:r>
            <w:r w:rsidRPr="00F6697C">
              <w:rPr>
                <w:sz w:val="24"/>
                <w:szCs w:val="24"/>
              </w:rPr>
              <w:lastRenderedPageBreak/>
              <w:t>нужд образовательной организации требований по заключению договоров с контрагентами в соответствии с федеральными законами. Разъяснение работникам образовательной организации,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Оплата труда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Оплата рабочего времени не в полном объеме. 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1701" w:type="dxa"/>
          </w:tcPr>
          <w:p w:rsidR="00A53B83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Директор, </w:t>
            </w:r>
          </w:p>
          <w:p w:rsidR="000D2F76" w:rsidRPr="00F6697C" w:rsidRDefault="00A53B83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бухгалтера, </w:t>
            </w:r>
            <w:r w:rsidR="000D2F76" w:rsidRPr="00F6697C">
              <w:rPr>
                <w:sz w:val="24"/>
                <w:szCs w:val="24"/>
              </w:rPr>
              <w:t xml:space="preserve">заместители директора, руководители </w:t>
            </w:r>
            <w:r w:rsidR="000D2F76">
              <w:rPr>
                <w:sz w:val="24"/>
                <w:szCs w:val="24"/>
              </w:rPr>
              <w:t>функциональных направлений</w:t>
            </w:r>
            <w:r w:rsidR="000D2F76" w:rsidRPr="00F6697C">
              <w:rPr>
                <w:sz w:val="24"/>
                <w:szCs w:val="24"/>
              </w:rPr>
              <w:t>, лицо, осуществляющее ведение табеля учета рабочего времени и предоставления сведений о поощрениях.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Создание и работа экспертной комиссии по установлению стимулирующих выплат работникам образовательной организации. Использование средств на оплату труда в строгом соответствии с Положением об оплате труда работников образовательной организации. Разъяснение ответственным лицам о мерах ответственности за совершение </w:t>
            </w:r>
            <w:r w:rsidRPr="00F6697C">
              <w:rPr>
                <w:sz w:val="24"/>
                <w:szCs w:val="24"/>
              </w:rPr>
              <w:lastRenderedPageBreak/>
              <w:t>коррупционных правонарушений. Создание комиссии по распределению учебной нагрузки.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Проведение аттестации педагогических работников.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Необъективная оценка деятельности педагогических работников, завышение результативности труда. Предоставление неверной информации.</w:t>
            </w:r>
          </w:p>
        </w:tc>
        <w:tc>
          <w:tcPr>
            <w:tcW w:w="1701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Заместитель директора по учебно-воспитательной работе, руководители методических объединений, учителя, ответственные лица.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Комиссионное принятие решения.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Аттестация обучающихся.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Необъективность в выставлении оценки, завышение оценочных баллов для искусственного поддержания видимости успеваемости, знаний, умений, навыков. Завышение оценочных баллов за вознаграждение или оказание услуг со стороны обучающихся либо их родителей (законных представителей).</w:t>
            </w:r>
          </w:p>
        </w:tc>
        <w:tc>
          <w:tcPr>
            <w:tcW w:w="1701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Заместитель директора по учебно-воспитательной работе, руководители методических объединений, учителя, ответственные лица.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Комиссионное принятие решения. Организация работы по контролю за деятельностью педагогических работников. Рассмотрение успеваемости обучающихся в заседаниях цикловых комиссий.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D2F76" w:rsidRPr="00F6697C" w:rsidRDefault="00A53B83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на обучение в </w:t>
            </w:r>
            <w:proofErr w:type="spellStart"/>
            <w:r>
              <w:rPr>
                <w:sz w:val="24"/>
                <w:szCs w:val="24"/>
              </w:rPr>
              <w:t>обра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D2F76" w:rsidRPr="00F6697C">
              <w:rPr>
                <w:sz w:val="24"/>
                <w:szCs w:val="24"/>
              </w:rPr>
              <w:t>зовательную организацию.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Предоставление не предусмотренных за коном преимуществ (протекционизм, семейственность) для поступления.</w:t>
            </w:r>
          </w:p>
        </w:tc>
        <w:tc>
          <w:tcPr>
            <w:tcW w:w="1701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Обеспечение открытой информации о наполняемости классов. Соблюдение утвержденного порядка приема. Контроль со стороны директора и заместителей директора.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Реализация мероприятий муниципальной </w:t>
            </w:r>
            <w:r w:rsidRPr="00F6697C">
              <w:rPr>
                <w:sz w:val="24"/>
                <w:szCs w:val="24"/>
              </w:rPr>
              <w:lastRenderedPageBreak/>
              <w:t>программы по развитию системы социальной поддержки обучающихся.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 xml:space="preserve">Подготовка документов на предоставление </w:t>
            </w:r>
            <w:r w:rsidRPr="00F6697C">
              <w:rPr>
                <w:sz w:val="24"/>
                <w:szCs w:val="24"/>
              </w:rPr>
              <w:lastRenderedPageBreak/>
              <w:t>социальной поддержки, устанавливающих необоснованные преимущества отдельным обучающимся.</w:t>
            </w:r>
          </w:p>
        </w:tc>
        <w:tc>
          <w:tcPr>
            <w:tcW w:w="1701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 xml:space="preserve">Директор, заместители директора, </w:t>
            </w:r>
            <w:r w:rsidRPr="00F6697C">
              <w:rPr>
                <w:sz w:val="24"/>
                <w:szCs w:val="24"/>
              </w:rPr>
              <w:lastRenderedPageBreak/>
              <w:t>классные руководители, ответственные по питанию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Организация и контроль работы коллегиального </w:t>
            </w:r>
            <w:r w:rsidRPr="00F6697C">
              <w:rPr>
                <w:sz w:val="24"/>
                <w:szCs w:val="24"/>
              </w:rPr>
              <w:lastRenderedPageBreak/>
              <w:t>органа по выдвижению кандидатур и рассмотрению документов.</w:t>
            </w:r>
          </w:p>
        </w:tc>
      </w:tr>
    </w:tbl>
    <w:p w:rsidR="003855A0" w:rsidRDefault="003855A0"/>
    <w:sectPr w:rsidR="003855A0" w:rsidSect="00E37885">
      <w:pgSz w:w="11906" w:h="16838" w:code="9"/>
      <w:pgMar w:top="851" w:right="850" w:bottom="851" w:left="1418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DB3"/>
    <w:multiLevelType w:val="multilevel"/>
    <w:tmpl w:val="D682F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76"/>
    <w:rsid w:val="000D2F76"/>
    <w:rsid w:val="003855A0"/>
    <w:rsid w:val="00A53B83"/>
    <w:rsid w:val="00E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76"/>
    <w:rPr>
      <w:rFonts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2F76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F76"/>
    <w:pPr>
      <w:widowControl w:val="0"/>
      <w:shd w:val="clear" w:color="auto" w:fill="FFFFFF"/>
      <w:spacing w:before="60" w:after="720" w:line="0" w:lineRule="atLeast"/>
      <w:ind w:firstLine="0"/>
      <w:jc w:val="center"/>
    </w:pPr>
    <w:rPr>
      <w:rFonts w:eastAsia="Times New Roman" w:cs="Times New Roman"/>
      <w:color w:val="000000"/>
      <w:szCs w:val="28"/>
    </w:rPr>
  </w:style>
  <w:style w:type="table" w:styleId="a3">
    <w:name w:val="Table Grid"/>
    <w:basedOn w:val="a1"/>
    <w:uiPriority w:val="39"/>
    <w:rsid w:val="000D2F76"/>
    <w:rPr>
      <w:rFonts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F76"/>
    <w:pPr>
      <w:ind w:left="720"/>
      <w:contextualSpacing/>
    </w:pPr>
  </w:style>
  <w:style w:type="character" w:customStyle="1" w:styleId="295pt">
    <w:name w:val="Основной текст (2) + 9;5 pt"/>
    <w:basedOn w:val="2"/>
    <w:rsid w:val="000D2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76"/>
    <w:rPr>
      <w:rFonts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2F76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F76"/>
    <w:pPr>
      <w:widowControl w:val="0"/>
      <w:shd w:val="clear" w:color="auto" w:fill="FFFFFF"/>
      <w:spacing w:before="60" w:after="720" w:line="0" w:lineRule="atLeast"/>
      <w:ind w:firstLine="0"/>
      <w:jc w:val="center"/>
    </w:pPr>
    <w:rPr>
      <w:rFonts w:eastAsia="Times New Roman" w:cs="Times New Roman"/>
      <w:color w:val="000000"/>
      <w:szCs w:val="28"/>
    </w:rPr>
  </w:style>
  <w:style w:type="table" w:styleId="a3">
    <w:name w:val="Table Grid"/>
    <w:basedOn w:val="a1"/>
    <w:uiPriority w:val="39"/>
    <w:rsid w:val="000D2F76"/>
    <w:rPr>
      <w:rFonts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F76"/>
    <w:pPr>
      <w:ind w:left="720"/>
      <w:contextualSpacing/>
    </w:pPr>
  </w:style>
  <w:style w:type="character" w:customStyle="1" w:styleId="295pt">
    <w:name w:val="Основной текст (2) + 9;5 pt"/>
    <w:basedOn w:val="2"/>
    <w:rsid w:val="000D2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</dc:creator>
  <cp:keywords/>
  <dc:description/>
  <cp:lastModifiedBy>user</cp:lastModifiedBy>
  <cp:revision>2</cp:revision>
  <dcterms:created xsi:type="dcterms:W3CDTF">2021-09-21T08:54:00Z</dcterms:created>
  <dcterms:modified xsi:type="dcterms:W3CDTF">2023-04-19T16:49:00Z</dcterms:modified>
</cp:coreProperties>
</file>